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AFBA0" w14:textId="77777777" w:rsidR="00A67159" w:rsidRPr="00662567" w:rsidRDefault="00A67159" w:rsidP="00A67159">
      <w:pPr>
        <w:spacing w:line="240" w:lineRule="auto"/>
        <w:jc w:val="center"/>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b/>
          <w:bCs/>
          <w:color w:val="000000"/>
          <w:kern w:val="0"/>
          <w:sz w:val="32"/>
          <w:szCs w:val="32"/>
          <w:u w:val="single"/>
          <w:lang w:eastAsia="en-GB"/>
          <w14:ligatures w14:val="none"/>
        </w:rPr>
        <w:t>2. Can Any Belief be a ‘Religious’ Belief?</w:t>
      </w:r>
    </w:p>
    <w:p w14:paraId="6B63F360" w14:textId="77777777" w:rsidR="00A67159" w:rsidRPr="00662567" w:rsidRDefault="00A67159" w:rsidP="00A67159">
      <w:pPr>
        <w:spacing w:line="240" w:lineRule="auto"/>
        <w:jc w:val="center"/>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i/>
          <w:iCs/>
          <w:color w:val="000000"/>
          <w:kern w:val="0"/>
          <w:sz w:val="28"/>
          <w:szCs w:val="28"/>
          <w:lang w:eastAsia="en-GB"/>
          <w14:ligatures w14:val="none"/>
        </w:rPr>
        <w:t>By Yishai Epstein-Lightman</w:t>
      </w:r>
      <w:r w:rsidRPr="00662567">
        <w:rPr>
          <w:rFonts w:ascii="Times New Roman" w:eastAsia="Times New Roman" w:hAnsi="Times New Roman" w:cs="Times New Roman"/>
          <w:color w:val="000000"/>
          <w:kern w:val="0"/>
          <w:lang w:eastAsia="en-GB"/>
          <w14:ligatures w14:val="none"/>
        </w:rPr>
        <w:t> </w:t>
      </w:r>
    </w:p>
    <w:p w14:paraId="747CAA4D" w14:textId="77777777" w:rsidR="00A67159" w:rsidRPr="00662567" w:rsidRDefault="00A67159" w:rsidP="00A67159">
      <w:pPr>
        <w:spacing w:after="0" w:line="240" w:lineRule="auto"/>
        <w:rPr>
          <w:rFonts w:ascii="Times New Roman" w:eastAsia="Times New Roman" w:hAnsi="Times New Roman" w:cs="Times New Roman"/>
          <w:kern w:val="0"/>
          <w:lang w:eastAsia="en-GB"/>
          <w14:ligatures w14:val="none"/>
        </w:rPr>
      </w:pPr>
    </w:p>
    <w:p w14:paraId="6D9E32B2" w14:textId="77777777" w:rsidR="00A67159" w:rsidRPr="00662567" w:rsidRDefault="00A67159" w:rsidP="00A67159">
      <w:pPr>
        <w:spacing w:before="280" w:after="280" w:line="360" w:lineRule="auto"/>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color w:val="000000"/>
          <w:kern w:val="0"/>
          <w:lang w:eastAsia="en-GB"/>
          <w14:ligatures w14:val="none"/>
        </w:rPr>
        <w:t>In this essay, I will argue that not any belief can be a religious belief, fundamentally because characterizing a belief as religious is determined by its content, rather than how it was formed. Whil</w:t>
      </w:r>
      <w:r>
        <w:rPr>
          <w:rFonts w:ascii="Times New Roman" w:eastAsia="Times New Roman" w:hAnsi="Times New Roman" w:cs="Times New Roman"/>
          <w:color w:val="000000"/>
          <w:kern w:val="0"/>
          <w:lang w:eastAsia="en-GB"/>
          <w14:ligatures w14:val="none"/>
        </w:rPr>
        <w:t>st</w:t>
      </w:r>
      <w:r w:rsidRPr="00662567">
        <w:rPr>
          <w:rFonts w:ascii="Times New Roman" w:eastAsia="Times New Roman" w:hAnsi="Times New Roman" w:cs="Times New Roman"/>
          <w:color w:val="000000"/>
          <w:kern w:val="0"/>
          <w:lang w:eastAsia="en-GB"/>
          <w14:ligatures w14:val="none"/>
        </w:rPr>
        <w:t xml:space="preserve"> the psychological state of the believer may be influenced by a religious “form of life”</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color w:val="000000"/>
          <w:kern w:val="0"/>
          <w:lang w:eastAsia="en-GB"/>
          <w14:ligatures w14:val="none"/>
        </w:rPr>
        <w:t xml:space="preserve"> that background does not dictate the content of the belief itself. Indeed, the religious formation of a belief is not the same as its content, which may be entirely unrelated to the "family resemblance" of religious practices and ideas. </w:t>
      </w:r>
    </w:p>
    <w:p w14:paraId="690BD810" w14:textId="77777777" w:rsidR="00A67159" w:rsidRPr="00662567" w:rsidRDefault="00A67159" w:rsidP="00A67159">
      <w:pPr>
        <w:spacing w:before="280" w:after="280" w:line="360" w:lineRule="auto"/>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color w:val="000000"/>
          <w:kern w:val="0"/>
          <w:lang w:eastAsia="en-GB"/>
          <w14:ligatures w14:val="none"/>
        </w:rPr>
        <w:t xml:space="preserve">Central to addressing whether any belief can be categorised as “religious” is establishing a rigorous definition of what constitutes belief. In his influential </w:t>
      </w:r>
      <w:r w:rsidRPr="00662567">
        <w:rPr>
          <w:rFonts w:ascii="Times New Roman" w:eastAsia="Times New Roman" w:hAnsi="Times New Roman" w:cs="Times New Roman"/>
          <w:i/>
          <w:iCs/>
          <w:color w:val="000000"/>
          <w:kern w:val="0"/>
          <w:lang w:eastAsia="en-GB"/>
          <w14:ligatures w14:val="none"/>
        </w:rPr>
        <w:t>Deciding to Believe</w:t>
      </w:r>
      <w:r w:rsidRPr="00662567">
        <w:rPr>
          <w:rFonts w:ascii="Times New Roman" w:eastAsia="Times New Roman" w:hAnsi="Times New Roman" w:cs="Times New Roman"/>
          <w:color w:val="000000"/>
          <w:kern w:val="0"/>
          <w:lang w:eastAsia="en-GB"/>
          <w14:ligatures w14:val="none"/>
        </w:rPr>
        <w:t xml:space="preserve"> (1973), Bernard Williams gives his own characterisation of what a belief is, and this essay will use Williams’ characterisation due to its strong and clear criteria that accurately represent true belief. Williams insists that belief is a truth-bound and involuntary psychological state, unaffected by human desire, different to mere assent</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color w:val="000000"/>
          <w:kern w:val="0"/>
          <w:lang w:eastAsia="en-GB"/>
          <w14:ligatures w14:val="none"/>
        </w:rPr>
        <w:t xml:space="preserve"> which is a purely linguistic act (Williams, 1973).</w:t>
      </w:r>
    </w:p>
    <w:p w14:paraId="066CD254" w14:textId="77777777" w:rsidR="00A67159" w:rsidRPr="00662567" w:rsidRDefault="00A67159" w:rsidP="00A67159">
      <w:pPr>
        <w:spacing w:before="280" w:after="280" w:line="360" w:lineRule="auto"/>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color w:val="000000"/>
          <w:kern w:val="0"/>
          <w:lang w:eastAsia="en-GB"/>
          <w14:ligatures w14:val="none"/>
        </w:rPr>
        <w:t xml:space="preserve">In the first of his criteria, Williams states that beliefs aim at truth. To hold a belief, you must regard a proposition as a factual representation of reality. This requirement implies that beliefs are not merely chosen for personal comfort or through an act of the will, </w:t>
      </w:r>
      <w:r>
        <w:rPr>
          <w:rFonts w:ascii="Times New Roman" w:eastAsia="Times New Roman" w:hAnsi="Times New Roman" w:cs="Times New Roman"/>
          <w:color w:val="000000"/>
          <w:kern w:val="0"/>
          <w:lang w:eastAsia="en-GB"/>
          <w14:ligatures w14:val="none"/>
        </w:rPr>
        <w:t xml:space="preserve">but rather </w:t>
      </w:r>
      <w:r w:rsidRPr="00662567">
        <w:rPr>
          <w:rFonts w:ascii="Times New Roman" w:eastAsia="Times New Roman" w:hAnsi="Times New Roman" w:cs="Times New Roman"/>
          <w:color w:val="000000"/>
          <w:kern w:val="0"/>
          <w:lang w:eastAsia="en-GB"/>
          <w14:ligatures w14:val="none"/>
        </w:rPr>
        <w:t>are involuntary, passive phenomena that happen to us</w:t>
      </w:r>
      <w:r>
        <w:rPr>
          <w:rFonts w:ascii="Times New Roman" w:eastAsia="Times New Roman" w:hAnsi="Times New Roman" w:cs="Times New Roman"/>
          <w:color w:val="000000"/>
          <w:kern w:val="0"/>
          <w:lang w:eastAsia="en-GB"/>
          <w14:ligatures w14:val="none"/>
        </w:rPr>
        <w:t xml:space="preserve"> - this</w:t>
      </w:r>
      <w:r w:rsidRPr="00662567">
        <w:rPr>
          <w:rFonts w:ascii="Times New Roman" w:eastAsia="Times New Roman" w:hAnsi="Times New Roman" w:cs="Times New Roman"/>
          <w:color w:val="000000"/>
          <w:kern w:val="0"/>
          <w:lang w:eastAsia="en-GB"/>
          <w14:ligatures w14:val="none"/>
        </w:rPr>
        <w:t xml:space="preserve"> is the second of his features. Because belief is necessitated by what an individual recognizes as truth-tracking evidence, "believing at will" is a logical impossibility (Williams, 1973). His third feature states that the basic expression of a belief is a direct assertion of the proposition itself. This leads to the </w:t>
      </w:r>
      <w:r>
        <w:rPr>
          <w:rFonts w:ascii="Times New Roman" w:eastAsia="Times New Roman" w:hAnsi="Times New Roman" w:cs="Times New Roman"/>
          <w:color w:val="000000"/>
          <w:kern w:val="0"/>
          <w:lang w:eastAsia="en-GB"/>
          <w14:ligatures w14:val="none"/>
        </w:rPr>
        <w:t>fourth</w:t>
      </w:r>
      <w:r w:rsidRPr="00662567">
        <w:rPr>
          <w:rFonts w:ascii="Times New Roman" w:eastAsia="Times New Roman" w:hAnsi="Times New Roman" w:cs="Times New Roman"/>
          <w:color w:val="000000"/>
          <w:kern w:val="0"/>
          <w:lang w:eastAsia="en-GB"/>
          <w14:ligatures w14:val="none"/>
        </w:rPr>
        <w:t xml:space="preserve"> feature</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color w:val="000000"/>
          <w:kern w:val="0"/>
          <w:lang w:eastAsia="en-GB"/>
          <w14:ligatures w14:val="none"/>
        </w:rPr>
        <w:t xml:space="preserve"> that belief resides in the internal psychological state of the believer</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color w:val="000000"/>
          <w:kern w:val="0"/>
          <w:lang w:eastAsia="en-GB"/>
          <w14:ligatures w14:val="none"/>
        </w:rPr>
        <w:t xml:space="preserve"> </w:t>
      </w:r>
      <w:r>
        <w:rPr>
          <w:rFonts w:ascii="Times New Roman" w:eastAsia="Times New Roman" w:hAnsi="Times New Roman" w:cs="Times New Roman"/>
          <w:color w:val="000000"/>
          <w:kern w:val="0"/>
          <w:lang w:eastAsia="en-GB"/>
          <w14:ligatures w14:val="none"/>
        </w:rPr>
        <w:t>since</w:t>
      </w:r>
      <w:r w:rsidRPr="00662567">
        <w:rPr>
          <w:rFonts w:ascii="Times New Roman" w:eastAsia="Times New Roman" w:hAnsi="Times New Roman" w:cs="Times New Roman"/>
          <w:color w:val="000000"/>
          <w:kern w:val="0"/>
          <w:lang w:eastAsia="en-GB"/>
          <w14:ligatures w14:val="none"/>
        </w:rPr>
        <w:t xml:space="preserve"> this internal state remains distinct from speech acts, true belief allows for uniquely human capacities like insincerity or deliberate reticence. This distinguishes human conviction from simple, mechanical “B-states”, which Williams argues are information-tracking processes found in animals or machines (Williams, 1973).</w:t>
      </w:r>
    </w:p>
    <w:p w14:paraId="17CDA54D" w14:textId="77777777" w:rsidR="00A67159" w:rsidRPr="00662567" w:rsidRDefault="00A67159" w:rsidP="00A67159">
      <w:pPr>
        <w:spacing w:before="280" w:after="280" w:line="360" w:lineRule="auto"/>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color w:val="000000"/>
          <w:kern w:val="0"/>
          <w:lang w:eastAsia="en-GB"/>
          <w14:ligatures w14:val="none"/>
        </w:rPr>
        <w:t xml:space="preserve">Defining religion is notoriously difficult, as it faces significant philosophical and anthropological issues, primarily because most attempts to identify it are either too narrow or too broad. Immanuel Kant’s attempt – viewing religion as the “recognition of all our duties as </w:t>
      </w:r>
      <w:r w:rsidRPr="00662567">
        <w:rPr>
          <w:rFonts w:ascii="Times New Roman" w:eastAsia="Times New Roman" w:hAnsi="Times New Roman" w:cs="Times New Roman"/>
          <w:color w:val="000000"/>
          <w:kern w:val="0"/>
          <w:lang w:eastAsia="en-GB"/>
          <w14:ligatures w14:val="none"/>
        </w:rPr>
        <w:lastRenderedPageBreak/>
        <w:t>divine commands” (Taliaferro and Draper</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i/>
          <w:iCs/>
          <w:color w:val="000000"/>
          <w:kern w:val="0"/>
          <w:lang w:eastAsia="en-GB"/>
          <w14:ligatures w14:val="none"/>
        </w:rPr>
        <w:t xml:space="preserve"> The Oxford Handbook of Philosophy of Religion</w:t>
      </w:r>
      <w:r w:rsidRPr="00662567">
        <w:rPr>
          <w:rFonts w:ascii="Times New Roman" w:eastAsia="Times New Roman" w:hAnsi="Times New Roman" w:cs="Times New Roman"/>
          <w:color w:val="000000"/>
          <w:kern w:val="0"/>
          <w:lang w:eastAsia="en-GB"/>
          <w14:ligatures w14:val="none"/>
        </w:rPr>
        <w:t xml:space="preserve">, 2010, pp. 406–407) – fails to account for non-theistic traditions such as Theravada Buddhism, which lacks a personal deity capable of issuing such commands. Conversely, Clifford Geertz’s definition of a “system of symbols” is far too broad, as it necessarily includes secular ideologies such as Nazism or Soviet Marxism. While both are not traditionally classed as religions and in many ways are actively hostile to the very idea of religion, such </w:t>
      </w:r>
      <w:r w:rsidRPr="002341F3">
        <w:rPr>
          <w:rFonts w:ascii="Times New Roman" w:hAnsi="Times New Roman" w:cs="Times New Roman"/>
        </w:rPr>
        <w:t>secular ideologies share similar symbolic power and “auras of factuality” that mimic religion by making their conceptions appear “uniquely realistic</w:t>
      </w:r>
      <w:r>
        <w:rPr>
          <w:rFonts w:ascii="Times New Roman" w:hAnsi="Times New Roman" w:cs="Times New Roman"/>
        </w:rPr>
        <w:t>”</w:t>
      </w:r>
      <w:r w:rsidRPr="002341F3">
        <w:rPr>
          <w:rFonts w:ascii="Times New Roman" w:eastAsia="Times New Roman" w:hAnsi="Times New Roman" w:cs="Times New Roman"/>
          <w:color w:val="000000"/>
          <w:kern w:val="0"/>
          <w:lang w:eastAsia="en-GB"/>
          <w14:ligatures w14:val="none"/>
        </w:rPr>
        <w:t xml:space="preserve"> (</w:t>
      </w:r>
      <w:r w:rsidRPr="00662567">
        <w:rPr>
          <w:rFonts w:ascii="Times New Roman" w:eastAsia="Times New Roman" w:hAnsi="Times New Roman" w:cs="Times New Roman"/>
          <w:color w:val="000000"/>
          <w:kern w:val="0"/>
          <w:lang w:eastAsia="en-GB"/>
          <w14:ligatures w14:val="none"/>
        </w:rPr>
        <w:t>Taliaferro and Draper, 2010, pp. 406–407).</w:t>
      </w:r>
    </w:p>
    <w:p w14:paraId="474B4B12" w14:textId="77777777" w:rsidR="00A67159" w:rsidRPr="00662567" w:rsidRDefault="00A67159" w:rsidP="00A67159">
      <w:pPr>
        <w:spacing w:before="280" w:after="280" w:line="360" w:lineRule="auto"/>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color w:val="000000"/>
          <w:kern w:val="0"/>
          <w:lang w:eastAsia="en-GB"/>
          <w14:ligatures w14:val="none"/>
        </w:rPr>
        <w:t>Furthermore, as Nicholas Wolterstorff notes in ‘The Task of Epistemology’ (Taliaferro and Draper, 2010, p. 405), scholars often disagree on the very nature of religion, and whether it should be viewed as a social institution or a system of symbols. This lack of consensus is exacerbated by the fact that religion only exists in the plural: there is no “religion as such”, according to Wolterstorff, only specific religions functioning as complex “forms of life”.</w:t>
      </w:r>
      <w:r w:rsidRPr="003D6246">
        <w:t xml:space="preserve"> </w:t>
      </w:r>
      <w:r w:rsidRPr="003D6246">
        <w:rPr>
          <w:rFonts w:ascii="Times New Roman" w:hAnsi="Times New Roman" w:cs="Times New Roman"/>
        </w:rPr>
        <w:t>Alongside worship, prayer and various propositional attitudes like hope and trust, it is difficult to find a single essential characteristic. Consequently, these difficulties suggest</w:t>
      </w:r>
      <w:r w:rsidRPr="00662567">
        <w:rPr>
          <w:rFonts w:ascii="Times New Roman" w:eastAsia="Times New Roman" w:hAnsi="Times New Roman" w:cs="Times New Roman"/>
          <w:color w:val="000000"/>
          <w:kern w:val="0"/>
          <w:lang w:eastAsia="en-GB"/>
          <w14:ligatures w14:val="none"/>
        </w:rPr>
        <w:t xml:space="preserve"> that a fixed set of necessary and sufficient conditions to define “religion” may be impossible to construct, and that instead a balanced definition that encompasses overlapping traditions is essential.</w:t>
      </w:r>
    </w:p>
    <w:p w14:paraId="2E8BD20C" w14:textId="77777777" w:rsidR="00A67159" w:rsidRPr="00662567" w:rsidRDefault="00A67159" w:rsidP="00A67159">
      <w:pPr>
        <w:spacing w:before="280" w:after="280"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color w:val="000000"/>
          <w:kern w:val="0"/>
          <w:lang w:eastAsia="en-GB"/>
          <w14:ligatures w14:val="none"/>
        </w:rPr>
        <w:t>In</w:t>
      </w:r>
      <w:r w:rsidRPr="00662567">
        <w:rPr>
          <w:rFonts w:ascii="Times New Roman" w:eastAsia="Times New Roman" w:hAnsi="Times New Roman" w:cs="Times New Roman"/>
          <w:color w:val="000000"/>
          <w:kern w:val="0"/>
          <w:lang w:eastAsia="en-GB"/>
          <w14:ligatures w14:val="none"/>
        </w:rPr>
        <w:t xml:space="preserve"> </w:t>
      </w:r>
      <w:r w:rsidRPr="00662567">
        <w:rPr>
          <w:rFonts w:ascii="Times New Roman" w:eastAsia="Times New Roman" w:hAnsi="Times New Roman" w:cs="Times New Roman"/>
          <w:i/>
          <w:iCs/>
          <w:color w:val="000000"/>
          <w:kern w:val="0"/>
          <w:lang w:eastAsia="en-GB"/>
          <w14:ligatures w14:val="none"/>
        </w:rPr>
        <w:t>Philosophical Investigations</w:t>
      </w:r>
      <w:r w:rsidRPr="00662567">
        <w:rPr>
          <w:rFonts w:ascii="Times New Roman" w:eastAsia="Times New Roman" w:hAnsi="Times New Roman" w:cs="Times New Roman"/>
          <w:color w:val="000000"/>
          <w:kern w:val="0"/>
          <w:lang w:eastAsia="en-GB"/>
          <w14:ligatures w14:val="none"/>
        </w:rPr>
        <w:t xml:space="preserve"> (Wittgenstein, 2009, pp. 65–67), Ludwig Wittgenstein’s family-resemblance concept addresses the historical difficulty of defining religion by rejecting the search for a single "common essence" or a set of necessary and sufficient conditions. Instead of a rigid definition, he views religion as a “complex continuum” of overlapping resemblances and differences, much like how traits are distributed within a biological family. In this model, two traditions may share no traits with one another yet still be classified under the same concept because they both share different traits with a third tradition. For example, the ancient worship of Moloch and modern Christianity overlap through the worship of a personal deity, while Christianity and Theravada Buddhism overlap through the quite different respect that they both offer a “comprehensive interpretation of life”</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color w:val="000000"/>
          <w:kern w:val="0"/>
          <w:lang w:eastAsia="en-GB"/>
          <w14:ligatures w14:val="none"/>
        </w:rPr>
        <w:t xml:space="preserve"> even though Moloch-worship and Theravada Buddhism share comparatively few direct similarities. This approach recognises that religion is a “form of life” – a way of living and a web of social practices</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color w:val="000000"/>
          <w:kern w:val="0"/>
          <w:lang w:eastAsia="en-GB"/>
          <w14:ligatures w14:val="none"/>
        </w:rPr>
        <w:t xml:space="preserve"> rather than a merely abstract or theoretical category. By situating </w:t>
      </w:r>
      <w:r w:rsidRPr="00662567">
        <w:rPr>
          <w:rFonts w:ascii="Times New Roman" w:eastAsia="Times New Roman" w:hAnsi="Times New Roman" w:cs="Times New Roman"/>
          <w:color w:val="000000"/>
          <w:kern w:val="0"/>
          <w:lang w:eastAsia="en-GB"/>
          <w14:ligatures w14:val="none"/>
        </w:rPr>
        <w:lastRenderedPageBreak/>
        <w:t>religious belief as a confession or conviction embedded in these practices, the family-resemblance model allows specific claims, such as the belief that Christ died to forgive our sins, to be understood as part of a wider "system of reference" that regulates a person's entire life (Wittgenstein, 2009, pp. 65–67).</w:t>
      </w:r>
    </w:p>
    <w:p w14:paraId="4505EE66" w14:textId="77777777" w:rsidR="00A67159" w:rsidRPr="00662567" w:rsidRDefault="00A67159" w:rsidP="00A67159">
      <w:pPr>
        <w:spacing w:before="280" w:after="280" w:line="360" w:lineRule="auto"/>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color w:val="000000"/>
          <w:kern w:val="0"/>
          <w:lang w:eastAsia="en-GB"/>
          <w14:ligatures w14:val="none"/>
        </w:rPr>
        <w:t xml:space="preserve">This conceptual framework effectively resolves the twin problems of definitions that are either too narrow or too broad. Traditional "narrow" definitions, such as that of Kant, often fail by requiring a belief in superhuman beings or divine commands, which would arbitrarily exclude nontheistic traditions like pure Theravada Buddhism. The family-resemblance model escapes this by allowing nontheistic interpretations of the absolute to count as religious through their other overlapping traits, such as their role in establishing "powerful, pervasive, and long-lasting moods” (Taliaferro and Draper, 2010, p. 407). Moreover, it avoids being too broad by utilizing what cognitive psychologists call prototype theory (Taliaferro and Draper, 2010, pp. 409–410). Concepts are organized around a prototype (for many Westerners, this is Christianity), and other traditions are classified based on their distance from this centre in a "similarity space". </w:t>
      </w:r>
      <w:r w:rsidRPr="00890DD1">
        <w:rPr>
          <w:rFonts w:ascii="Times New Roman" w:hAnsi="Times New Roman" w:cs="Times New Roman"/>
        </w:rPr>
        <w:t xml:space="preserve">While secular ideologies like Nazism or Soviet Marxism share traits with religion—such as a redemptive vision—they fall into a "borderline" category due to insufficient resemblance to the prototype. </w:t>
      </w:r>
      <w:r w:rsidRPr="00662567">
        <w:rPr>
          <w:rFonts w:ascii="Times New Roman" w:eastAsia="Times New Roman" w:hAnsi="Times New Roman" w:cs="Times New Roman"/>
          <w:color w:val="000000"/>
          <w:kern w:val="0"/>
          <w:lang w:eastAsia="en-GB"/>
          <w14:ligatures w14:val="none"/>
        </w:rPr>
        <w:t>Thus, the model provides a precise</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color w:val="000000"/>
          <w:kern w:val="0"/>
          <w:lang w:eastAsia="en-GB"/>
          <w14:ligatures w14:val="none"/>
        </w:rPr>
        <w:t xml:space="preserve"> yet flexible</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color w:val="000000"/>
          <w:kern w:val="0"/>
          <w:lang w:eastAsia="en-GB"/>
          <w14:ligatures w14:val="none"/>
        </w:rPr>
        <w:t xml:space="preserve"> map that maintains the distinctiveness of core religious practices without imposing restrictive requirements.</w:t>
      </w:r>
    </w:p>
    <w:p w14:paraId="0F97A94E" w14:textId="77777777" w:rsidR="00A67159" w:rsidRPr="00662567" w:rsidRDefault="00A67159" w:rsidP="00A67159">
      <w:pPr>
        <w:spacing w:before="280" w:after="280" w:line="360" w:lineRule="auto"/>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color w:val="000000"/>
          <w:kern w:val="0"/>
          <w:lang w:eastAsia="en-GB"/>
          <w14:ligatures w14:val="none"/>
        </w:rPr>
        <w:t>Having defined the terms of the question, the claim that all beliefs can be religious beliefs appears very difficult to accept</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color w:val="000000"/>
          <w:kern w:val="0"/>
          <w:lang w:eastAsia="en-GB"/>
          <w14:ligatures w14:val="none"/>
        </w:rPr>
        <w:t xml:space="preserve"> because some beliefs appear inherently mundane and secular, devoid of religious significance. Intuitively, some beliefs (e.g. that God exists) are inherently religious, while others are entirely secular and unrelated to religion—e.g., the proposition that the car is red appears paradigmatically secular. Consequently, it seems difficult to motivate the proposition that ‘any’ belief can be ‘religious’ when the links between some beliefs and religion seem non-existent.</w:t>
      </w:r>
    </w:p>
    <w:p w14:paraId="4846DE8A" w14:textId="77777777" w:rsidR="00A67159" w:rsidRPr="00662567" w:rsidRDefault="00A67159" w:rsidP="00A67159">
      <w:pPr>
        <w:spacing w:before="280" w:after="280" w:line="360" w:lineRule="auto"/>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color w:val="000000"/>
          <w:kern w:val="0"/>
          <w:lang w:eastAsia="en-GB"/>
          <w14:ligatures w14:val="none"/>
        </w:rPr>
        <w:t>Nonetheless, defenders of th</w:t>
      </w:r>
      <w:r>
        <w:rPr>
          <w:rFonts w:ascii="Times New Roman" w:eastAsia="Times New Roman" w:hAnsi="Times New Roman" w:cs="Times New Roman"/>
          <w:color w:val="000000"/>
          <w:kern w:val="0"/>
          <w:lang w:eastAsia="en-GB"/>
          <w14:ligatures w14:val="none"/>
        </w:rPr>
        <w:t>is</w:t>
      </w:r>
      <w:r w:rsidRPr="00662567">
        <w:rPr>
          <w:rFonts w:ascii="Times New Roman" w:eastAsia="Times New Roman" w:hAnsi="Times New Roman" w:cs="Times New Roman"/>
          <w:color w:val="000000"/>
          <w:kern w:val="0"/>
          <w:lang w:eastAsia="en-GB"/>
          <w14:ligatures w14:val="none"/>
        </w:rPr>
        <w:t xml:space="preserve"> proposition might argue that there are certain ways one could argue that any belief can be a ‘religious’ belief. Many religious people interpret everything in their lives through a religious framework; thus</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color w:val="000000"/>
          <w:kern w:val="0"/>
          <w:lang w:eastAsia="en-GB"/>
          <w14:ligatures w14:val="none"/>
        </w:rPr>
        <w:t xml:space="preserve"> anything can be the object of religious belief. While the proposition might initially seem extreme, when viewed, for example, through a Cartesian lens it might appear more plausible that all beliefs have a religious structure. In his </w:t>
      </w:r>
      <w:r w:rsidRPr="00662567">
        <w:rPr>
          <w:rFonts w:ascii="Times New Roman" w:eastAsia="Times New Roman" w:hAnsi="Times New Roman" w:cs="Times New Roman"/>
          <w:i/>
          <w:iCs/>
          <w:color w:val="000000"/>
          <w:kern w:val="0"/>
          <w:lang w:eastAsia="en-GB"/>
          <w14:ligatures w14:val="none"/>
        </w:rPr>
        <w:t>Meditations on First Philosophy</w:t>
      </w:r>
      <w:r w:rsidRPr="00662567">
        <w:rPr>
          <w:rFonts w:ascii="Times New Roman" w:eastAsia="Times New Roman" w:hAnsi="Times New Roman" w:cs="Times New Roman"/>
          <w:color w:val="000000"/>
          <w:kern w:val="0"/>
          <w:lang w:eastAsia="en-GB"/>
          <w14:ligatures w14:val="none"/>
        </w:rPr>
        <w:t xml:space="preserve"> (1641), through his foundational principle, “I think, </w:t>
      </w:r>
      <w:r w:rsidRPr="00662567">
        <w:rPr>
          <w:rFonts w:ascii="Times New Roman" w:eastAsia="Times New Roman" w:hAnsi="Times New Roman" w:cs="Times New Roman"/>
          <w:color w:val="000000"/>
          <w:kern w:val="0"/>
          <w:lang w:eastAsia="en-GB"/>
          <w14:ligatures w14:val="none"/>
        </w:rPr>
        <w:lastRenderedPageBreak/>
        <w:t>therefore I am”</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color w:val="000000"/>
          <w:kern w:val="0"/>
          <w:lang w:eastAsia="en-GB"/>
          <w14:ligatures w14:val="none"/>
        </w:rPr>
        <w:t xml:space="preserve"> René Descartes established that the mind exists as a thinking reality, proving its existence through the very act of doubting (Descartes, 1641/1996, Meditation II). To trust these thoughts and escape the isolation of his own consciousness, Descartes introduce</w:t>
      </w:r>
      <w:r>
        <w:rPr>
          <w:rFonts w:ascii="Times New Roman" w:eastAsia="Times New Roman" w:hAnsi="Times New Roman" w:cs="Times New Roman"/>
          <w:color w:val="000000"/>
          <w:kern w:val="0"/>
          <w:lang w:eastAsia="en-GB"/>
          <w14:ligatures w14:val="none"/>
        </w:rPr>
        <w:t>d</w:t>
      </w:r>
      <w:r w:rsidRPr="00662567">
        <w:rPr>
          <w:rFonts w:ascii="Times New Roman" w:eastAsia="Times New Roman" w:hAnsi="Times New Roman" w:cs="Times New Roman"/>
          <w:color w:val="000000"/>
          <w:kern w:val="0"/>
          <w:lang w:eastAsia="en-GB"/>
          <w14:ligatures w14:val="none"/>
        </w:rPr>
        <w:t xml:space="preserve"> arguments for God's existence, culminating in his ontological argument in Meditation V, to resolve the sceptical doubts that haunt</w:t>
      </w:r>
      <w:r>
        <w:rPr>
          <w:rFonts w:ascii="Times New Roman" w:eastAsia="Times New Roman" w:hAnsi="Times New Roman" w:cs="Times New Roman"/>
          <w:color w:val="000000"/>
          <w:kern w:val="0"/>
          <w:lang w:eastAsia="en-GB"/>
          <w14:ligatures w14:val="none"/>
        </w:rPr>
        <w:t>ed</w:t>
      </w:r>
      <w:r w:rsidRPr="00662567">
        <w:rPr>
          <w:rFonts w:ascii="Times New Roman" w:eastAsia="Times New Roman" w:hAnsi="Times New Roman" w:cs="Times New Roman"/>
          <w:color w:val="000000"/>
          <w:kern w:val="0"/>
          <w:lang w:eastAsia="en-GB"/>
          <w14:ligatures w14:val="none"/>
        </w:rPr>
        <w:t xml:space="preserve"> his Meditations (Descartes, 1641/1996, Meditations III and V). He reasoned that because God is a supremely perfect being, existence is an inherent necessity of God's true and immutable nature. Descartes maintain</w:t>
      </w:r>
      <w:r>
        <w:rPr>
          <w:rFonts w:ascii="Times New Roman" w:eastAsia="Times New Roman" w:hAnsi="Times New Roman" w:cs="Times New Roman"/>
          <w:color w:val="000000"/>
          <w:kern w:val="0"/>
          <w:lang w:eastAsia="en-GB"/>
          <w14:ligatures w14:val="none"/>
        </w:rPr>
        <w:t>ed</w:t>
      </w:r>
      <w:r w:rsidRPr="00662567">
        <w:rPr>
          <w:rFonts w:ascii="Times New Roman" w:eastAsia="Times New Roman" w:hAnsi="Times New Roman" w:cs="Times New Roman"/>
          <w:color w:val="000000"/>
          <w:kern w:val="0"/>
          <w:lang w:eastAsia="en-GB"/>
          <w14:ligatures w14:val="none"/>
        </w:rPr>
        <w:t xml:space="preserve"> that since a perfect God cannot be a deceiver, the human instinct to hold clear and distinct thoughts as true is facilitated by divine reliability (Descartes, 1641/1996, Meditation IV). Within this framework, God is the ultimate sustainer of human intellectual thought. Rather than the mind functioning independently, every exercise of the mental faculties stems from a cognitive apparatus designed and activated by the divine hand. Therefore, for a Cartesian believer no belief can happen in a vacuum, as every proposition is a direct manifestation of God’s active governance over the mind, ensuring that the belief is directed towards truth. Consequently, when we look at the </w:t>
      </w:r>
      <w:r w:rsidRPr="001D76EC">
        <w:rPr>
          <w:rFonts w:ascii="Times New Roman" w:eastAsia="Times New Roman" w:hAnsi="Times New Roman" w:cs="Times New Roman"/>
          <w:i/>
          <w:iCs/>
          <w:color w:val="000000"/>
          <w:kern w:val="0"/>
          <w:lang w:eastAsia="en-GB"/>
          <w14:ligatures w14:val="none"/>
        </w:rPr>
        <w:t>how</w:t>
      </w:r>
      <w:r w:rsidRPr="00662567">
        <w:rPr>
          <w:rFonts w:ascii="Times New Roman" w:eastAsia="Times New Roman" w:hAnsi="Times New Roman" w:cs="Times New Roman"/>
          <w:color w:val="000000"/>
          <w:kern w:val="0"/>
          <w:lang w:eastAsia="en-GB"/>
          <w14:ligatures w14:val="none"/>
        </w:rPr>
        <w:t xml:space="preserve"> (the divine origin) rather than the </w:t>
      </w:r>
      <w:r w:rsidRPr="001D76EC">
        <w:rPr>
          <w:rFonts w:ascii="Times New Roman" w:eastAsia="Times New Roman" w:hAnsi="Times New Roman" w:cs="Times New Roman"/>
          <w:i/>
          <w:iCs/>
          <w:color w:val="000000"/>
          <w:kern w:val="0"/>
          <w:lang w:eastAsia="en-GB"/>
          <w14:ligatures w14:val="none"/>
        </w:rPr>
        <w:t>what</w:t>
      </w:r>
      <w:r w:rsidRPr="00662567">
        <w:rPr>
          <w:rFonts w:ascii="Times New Roman" w:eastAsia="Times New Roman" w:hAnsi="Times New Roman" w:cs="Times New Roman"/>
          <w:color w:val="000000"/>
          <w:kern w:val="0"/>
          <w:lang w:eastAsia="en-GB"/>
          <w14:ligatures w14:val="none"/>
        </w:rPr>
        <w:t xml:space="preserve"> (the red car), every belief a person holds becomes fundamentally religious.</w:t>
      </w:r>
    </w:p>
    <w:p w14:paraId="61D43FBA" w14:textId="77777777" w:rsidR="00A67159" w:rsidRPr="00662567" w:rsidRDefault="00A67159" w:rsidP="00A67159">
      <w:pPr>
        <w:spacing w:before="280" w:after="280" w:line="360" w:lineRule="auto"/>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color w:val="000000"/>
          <w:kern w:val="0"/>
          <w:lang w:eastAsia="en-GB"/>
          <w14:ligatures w14:val="none"/>
        </w:rPr>
        <w:t>Despite this, while Descartes’ framework suggests that God is the ultimate sustainer of human thought, his view fails to support the assertion that any belief can be a religious belief</w:t>
      </w:r>
      <w:r>
        <w:rPr>
          <w:rFonts w:ascii="Times New Roman" w:eastAsia="Times New Roman" w:hAnsi="Times New Roman" w:cs="Times New Roman"/>
          <w:color w:val="000000"/>
          <w:kern w:val="0"/>
          <w:lang w:eastAsia="en-GB"/>
          <w14:ligatures w14:val="none"/>
        </w:rPr>
        <w:t>,</w:t>
      </w:r>
      <w:r w:rsidRPr="00662567">
        <w:rPr>
          <w:rFonts w:ascii="Times New Roman" w:eastAsia="Times New Roman" w:hAnsi="Times New Roman" w:cs="Times New Roman"/>
          <w:color w:val="000000"/>
          <w:kern w:val="0"/>
          <w:lang w:eastAsia="en-GB"/>
          <w14:ligatures w14:val="none"/>
        </w:rPr>
        <w:t xml:space="preserve"> because he places a strict limit on what constitutes a belief </w:t>
      </w:r>
      <w:r>
        <w:rPr>
          <w:rFonts w:ascii="Times New Roman" w:eastAsia="Times New Roman" w:hAnsi="Times New Roman" w:cs="Times New Roman"/>
          <w:color w:val="000000"/>
          <w:kern w:val="0"/>
          <w:lang w:eastAsia="en-GB"/>
          <w14:ligatures w14:val="none"/>
        </w:rPr>
        <w:t>due to God’s operating hand</w:t>
      </w:r>
      <w:r w:rsidRPr="00662567">
        <w:rPr>
          <w:rFonts w:ascii="Times New Roman" w:eastAsia="Times New Roman" w:hAnsi="Times New Roman" w:cs="Times New Roman"/>
          <w:color w:val="000000"/>
          <w:kern w:val="0"/>
          <w:lang w:eastAsia="en-GB"/>
          <w14:ligatures w14:val="none"/>
        </w:rPr>
        <w:t>. Descartes’ criteria of “clear and distinct” perceptions separate true, divinely guaranteed knowledge from human error; because God is perfect and not a deceiver, He only guarantees the truth of our thoughts when we follow this rigorous standard (Descartes, 1641/1996, Meditation IV).</w:t>
      </w:r>
      <w:r w:rsidRPr="00C16DDA">
        <w:t xml:space="preserve"> </w:t>
      </w:r>
      <w:r w:rsidRPr="00021E37">
        <w:rPr>
          <w:rFonts w:ascii="Times New Roman" w:hAnsi="Times New Roman" w:cs="Times New Roman"/>
        </w:rPr>
        <w:t>Critically, due to finite intellect and overreaching free will, we often rush to judgments and accept confused, “sensory-driven” ideas. These mistaken perceptions do not represent the flawless operation of the mind. Consequently</w:t>
      </w:r>
      <w:r>
        <w:rPr>
          <w:rFonts w:ascii="Times New Roman" w:hAnsi="Times New Roman" w:cs="Times New Roman"/>
        </w:rPr>
        <w:t>,</w:t>
      </w:r>
      <w:r w:rsidRPr="00021E37">
        <w:rPr>
          <w:rFonts w:ascii="Times New Roman" w:hAnsi="Times New Roman" w:cs="Times New Roman"/>
        </w:rPr>
        <w:t xml:space="preserve"> those rooted in sensory confusion </w:t>
      </w:r>
      <w:r>
        <w:rPr>
          <w:rFonts w:ascii="Times New Roman" w:hAnsi="Times New Roman" w:cs="Times New Roman"/>
        </w:rPr>
        <w:t xml:space="preserve">are not produced by God’s active governance and so </w:t>
      </w:r>
      <w:r w:rsidRPr="00021E37">
        <w:rPr>
          <w:rFonts w:ascii="Times New Roman" w:hAnsi="Times New Roman" w:cs="Times New Roman"/>
        </w:rPr>
        <w:t>are stripped of religious status, remaining purely products of human fallibility.</w:t>
      </w:r>
      <w:r w:rsidRPr="00662567">
        <w:rPr>
          <w:rFonts w:ascii="Times New Roman" w:eastAsia="Times New Roman" w:hAnsi="Times New Roman" w:cs="Times New Roman"/>
          <w:color w:val="000000"/>
          <w:kern w:val="0"/>
          <w:lang w:eastAsia="en-GB"/>
          <w14:ligatures w14:val="none"/>
        </w:rPr>
        <w:t xml:space="preserve"> </w:t>
      </w:r>
    </w:p>
    <w:p w14:paraId="269DBC7B" w14:textId="77777777" w:rsidR="00A67159" w:rsidRPr="00662567" w:rsidRDefault="00A67159" w:rsidP="00A67159">
      <w:pPr>
        <w:spacing w:before="280" w:after="280" w:line="360" w:lineRule="auto"/>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color w:val="000000"/>
          <w:kern w:val="0"/>
          <w:lang w:eastAsia="en-GB"/>
          <w14:ligatures w14:val="none"/>
        </w:rPr>
        <w:t xml:space="preserve">Nevertheless, in </w:t>
      </w:r>
      <w:r w:rsidRPr="00662567">
        <w:rPr>
          <w:rFonts w:ascii="Times New Roman" w:eastAsia="Times New Roman" w:hAnsi="Times New Roman" w:cs="Times New Roman"/>
          <w:i/>
          <w:iCs/>
          <w:color w:val="000000"/>
          <w:kern w:val="0"/>
          <w:lang w:eastAsia="en-GB"/>
          <w14:ligatures w14:val="none"/>
        </w:rPr>
        <w:t>The Myth of Religious Neutrality</w:t>
      </w:r>
      <w:r w:rsidRPr="00662567">
        <w:rPr>
          <w:rFonts w:ascii="Times New Roman" w:eastAsia="Times New Roman" w:hAnsi="Times New Roman" w:cs="Times New Roman"/>
          <w:color w:val="000000"/>
          <w:kern w:val="0"/>
          <w:lang w:eastAsia="en-GB"/>
          <w14:ligatures w14:val="none"/>
        </w:rPr>
        <w:t xml:space="preserve"> (1991), Christian scholar Roy Clouser may be seen to agree with the proposition that any belief can be ‘religious’, arguing that absolute intellectual neutrality is impossible. He asserts that all human reasoning – including science and logic – is fundamentally religious because it relies on a presupposition about a self-existent reality. Clouser defines "religious belief" not by rituals, but by what a person treats </w:t>
      </w:r>
      <w:r w:rsidRPr="00662567">
        <w:rPr>
          <w:rFonts w:ascii="Times New Roman" w:eastAsia="Times New Roman" w:hAnsi="Times New Roman" w:cs="Times New Roman"/>
          <w:color w:val="000000"/>
          <w:kern w:val="0"/>
          <w:lang w:eastAsia="en-GB"/>
          <w14:ligatures w14:val="none"/>
        </w:rPr>
        <w:lastRenderedPageBreak/>
        <w:t>as unconditionally present; whatever a thinker assumes is "just there" functions as their divinity. Because human cognitive faculties are not self-sustaining, every rational judgement is structurally directed by this underlying faith framework. Consequently, what society labels as "secular" thought is simply reasoning grounded in a different kind of divinity (Clouser, 1991).</w:t>
      </w:r>
    </w:p>
    <w:p w14:paraId="0C548278" w14:textId="77777777" w:rsidR="00A67159" w:rsidRPr="00662567" w:rsidRDefault="00A67159" w:rsidP="00A67159">
      <w:pPr>
        <w:spacing w:before="280" w:after="280" w:line="360" w:lineRule="auto"/>
        <w:rPr>
          <w:rFonts w:ascii="Times New Roman" w:eastAsia="Times New Roman" w:hAnsi="Times New Roman" w:cs="Times New Roman"/>
          <w:kern w:val="0"/>
          <w:lang w:eastAsia="en-GB"/>
          <w14:ligatures w14:val="none"/>
        </w:rPr>
      </w:pPr>
      <w:r w:rsidRPr="00662567">
        <w:rPr>
          <w:rFonts w:ascii="Times New Roman" w:eastAsia="Times New Roman" w:hAnsi="Times New Roman" w:cs="Times New Roman"/>
          <w:color w:val="000000"/>
          <w:kern w:val="0"/>
          <w:lang w:eastAsia="en-GB"/>
          <w14:ligatures w14:val="none"/>
        </w:rPr>
        <w:t>However, Clouser’s argument ultimately motivates the proposition in a way that is unacceptable, because it risks committing a version of the genetic fallacy by conflating the psychological origin of belief formation with the actual propositional content of the belief itself – a distinction central to Williams’ critique (Williams, 1973). Clouser presumes that because our cognitive infrastructure is fundamentally directed by an underlying faith framework, every subsequent thought must inherit a religious status. Yet this ignores Williams’ fourth essential feature of what constitutes belief: that a true belief is triggered by a direct, passive, causal link to reality (Williams, 1973). When an individual observes that “the car is red”, the truth-value of the proposition is strictly tethered to, and forced upon the mind by, the empirical reality of the physical vehicle. It is not an act of "believing at will" or a structural choice dictated by a worldview; it is a passive reflection of the world. Therefore, while a person’s overarching worldview might be structurally anchored in what Clouser calls a "divinity", the intentionality and empirical content of everyday factual propositions remain entirely secular. Forcing a religious classification onto a purely sensory-driven tracking of reality does not make the belief religious; rather, it conflates the background framework of the mind with the immediate, truth-aiming assertion of the proposition, which, in the case of ‘the car is red’, has little, if anything, to do with religion.</w:t>
      </w:r>
    </w:p>
    <w:p w14:paraId="211DE985" w14:textId="77777777" w:rsidR="00A67159" w:rsidRDefault="00A67159" w:rsidP="00A67159">
      <w:pPr>
        <w:spacing w:before="280" w:after="280" w:line="360" w:lineRule="auto"/>
        <w:rPr>
          <w:rFonts w:ascii="Times New Roman" w:eastAsia="Times New Roman" w:hAnsi="Times New Roman" w:cs="Times New Roman"/>
          <w:color w:val="000000"/>
          <w:kern w:val="0"/>
          <w:lang w:eastAsia="en-GB"/>
          <w14:ligatures w14:val="none"/>
        </w:rPr>
      </w:pPr>
      <w:r w:rsidRPr="00662567">
        <w:rPr>
          <w:rFonts w:ascii="Times New Roman" w:eastAsia="Times New Roman" w:hAnsi="Times New Roman" w:cs="Times New Roman"/>
          <w:color w:val="000000"/>
          <w:kern w:val="0"/>
          <w:lang w:eastAsia="en-GB"/>
          <w14:ligatures w14:val="none"/>
        </w:rPr>
        <w:t xml:space="preserve">In conclusion, the boundary of religious belief largely depends on whether </w:t>
      </w:r>
      <w:r>
        <w:rPr>
          <w:rFonts w:ascii="Times New Roman" w:eastAsia="Times New Roman" w:hAnsi="Times New Roman" w:cs="Times New Roman"/>
          <w:color w:val="000000"/>
          <w:kern w:val="0"/>
          <w:lang w:eastAsia="en-GB"/>
          <w14:ligatures w14:val="none"/>
        </w:rPr>
        <w:t xml:space="preserve">one evaluates </w:t>
      </w:r>
      <w:r w:rsidRPr="00662567">
        <w:rPr>
          <w:rFonts w:ascii="Times New Roman" w:eastAsia="Times New Roman" w:hAnsi="Times New Roman" w:cs="Times New Roman"/>
          <w:color w:val="000000"/>
          <w:kern w:val="0"/>
          <w:lang w:eastAsia="en-GB"/>
          <w14:ligatures w14:val="none"/>
        </w:rPr>
        <w:t xml:space="preserve">the psychological formulation or the propositional content. Certain universally accepted religious beliefs, such as the existence of the divine, can be accepted as such, and the believer’s perspective can motivate a case for all beliefs being characterised as such. Despite this, actual propositions such as “the car is red” remain mundane and secular, as the potential of a divine origin for humanity’s cognitive faculties doesn’t alter the empirical reality of the asserted proposition (Clouser, 1991). Rationally, it is impossible to change the intrinsic matter of empirical claims to fit into an overreaching religious framework simply because the reasoning tool is viewed as a gift from God. Therefore, through use of Williams and Wittgenstein’s useful definitions of “belief” and “religion” respectively (Williams, 1973; </w:t>
      </w:r>
      <w:r w:rsidRPr="00662567">
        <w:rPr>
          <w:rFonts w:ascii="Times New Roman" w:eastAsia="Times New Roman" w:hAnsi="Times New Roman" w:cs="Times New Roman"/>
          <w:color w:val="000000"/>
          <w:kern w:val="0"/>
          <w:lang w:eastAsia="en-GB"/>
          <w14:ligatures w14:val="none"/>
        </w:rPr>
        <w:lastRenderedPageBreak/>
        <w:t>Wittgenstein, 2009), the proposition that any belief can be a ‘religious’ belief should be rejected. Whilst a worldview may shape every belief we form, it does not follow that every proposition we believe is itself religious.</w:t>
      </w:r>
    </w:p>
    <w:p w14:paraId="13946870" w14:textId="77777777" w:rsidR="00A67159" w:rsidRDefault="00A67159" w:rsidP="00A67159">
      <w:pPr>
        <w:spacing w:before="280" w:after="280" w:line="360" w:lineRule="auto"/>
        <w:rPr>
          <w:rFonts w:ascii="Times New Roman" w:eastAsia="Times New Roman" w:hAnsi="Times New Roman" w:cs="Times New Roman"/>
          <w:kern w:val="0"/>
          <w:lang w:eastAsia="en-GB"/>
          <w14:ligatures w14:val="none"/>
        </w:rPr>
      </w:pPr>
    </w:p>
    <w:p w14:paraId="3F77515A" w14:textId="77777777" w:rsidR="00A67159" w:rsidRPr="00A67159" w:rsidRDefault="00A67159" w:rsidP="00A67159">
      <w:pPr>
        <w:spacing w:before="280" w:after="280" w:line="360" w:lineRule="auto"/>
        <w:jc w:val="center"/>
        <w:rPr>
          <w:rFonts w:ascii="Times New Roman" w:eastAsia="Times New Roman" w:hAnsi="Times New Roman" w:cs="Times New Roman"/>
          <w:b/>
          <w:bCs/>
          <w:kern w:val="0"/>
          <w:u w:val="single"/>
          <w:lang w:eastAsia="en-GB"/>
          <w14:ligatures w14:val="none"/>
        </w:rPr>
      </w:pPr>
      <w:r w:rsidRPr="00A67159">
        <w:rPr>
          <w:rFonts w:ascii="Times New Roman" w:eastAsia="Times New Roman" w:hAnsi="Times New Roman" w:cs="Times New Roman"/>
          <w:b/>
          <w:bCs/>
          <w:kern w:val="0"/>
          <w:u w:val="single"/>
          <w:lang w:eastAsia="en-GB"/>
          <w14:ligatures w14:val="none"/>
        </w:rPr>
        <w:t>Bibliography</w:t>
      </w:r>
      <w:r>
        <w:rPr>
          <w:rFonts w:ascii="Times New Roman" w:eastAsia="Times New Roman" w:hAnsi="Times New Roman" w:cs="Times New Roman"/>
          <w:b/>
          <w:bCs/>
          <w:kern w:val="0"/>
          <w:u w:val="single"/>
          <w:lang w:eastAsia="en-GB"/>
          <w14:ligatures w14:val="none"/>
        </w:rPr>
        <w:t>:</w:t>
      </w:r>
    </w:p>
    <w:p w14:paraId="5F78BA2B" w14:textId="77777777" w:rsidR="00A67159" w:rsidRPr="00662567" w:rsidRDefault="00A67159" w:rsidP="00A67159">
      <w:pPr>
        <w:numPr>
          <w:ilvl w:val="0"/>
          <w:numId w:val="2"/>
        </w:numPr>
        <w:spacing w:before="280" w:after="0" w:line="360" w:lineRule="auto"/>
        <w:textAlignment w:val="baseline"/>
        <w:rPr>
          <w:rFonts w:ascii="Times New Roman" w:eastAsia="Times New Roman" w:hAnsi="Times New Roman" w:cs="Times New Roman"/>
          <w:color w:val="000000"/>
          <w:kern w:val="0"/>
          <w:sz w:val="20"/>
          <w:szCs w:val="20"/>
          <w:lang w:eastAsia="en-GB"/>
          <w14:ligatures w14:val="none"/>
        </w:rPr>
      </w:pPr>
      <w:r w:rsidRPr="00662567">
        <w:rPr>
          <w:rFonts w:ascii="Times New Roman" w:eastAsia="Times New Roman" w:hAnsi="Times New Roman" w:cs="Times New Roman"/>
          <w:color w:val="000000"/>
          <w:kern w:val="0"/>
          <w:lang w:eastAsia="en-GB"/>
          <w14:ligatures w14:val="none"/>
        </w:rPr>
        <w:t xml:space="preserve">Clouser, R.A. (1991) </w:t>
      </w:r>
      <w:r w:rsidRPr="00662567">
        <w:rPr>
          <w:rFonts w:ascii="Times New Roman" w:eastAsia="Times New Roman" w:hAnsi="Times New Roman" w:cs="Times New Roman"/>
          <w:i/>
          <w:iCs/>
          <w:color w:val="000000"/>
          <w:kern w:val="0"/>
          <w:lang w:eastAsia="en-GB"/>
          <w14:ligatures w14:val="none"/>
        </w:rPr>
        <w:t>The Myth of Religious Neutrality: An Essay on the Hidden Role of Religious Belief in Theories</w:t>
      </w:r>
      <w:r w:rsidRPr="00662567">
        <w:rPr>
          <w:rFonts w:ascii="Times New Roman" w:eastAsia="Times New Roman" w:hAnsi="Times New Roman" w:cs="Times New Roman"/>
          <w:color w:val="000000"/>
          <w:kern w:val="0"/>
          <w:lang w:eastAsia="en-GB"/>
          <w14:ligatures w14:val="none"/>
        </w:rPr>
        <w:t>. Notre Dame, IN: University of Notre Dame Press.</w:t>
      </w:r>
    </w:p>
    <w:p w14:paraId="358AE09C" w14:textId="77777777" w:rsidR="00A67159" w:rsidRPr="00662567" w:rsidRDefault="00A67159" w:rsidP="00A67159">
      <w:pPr>
        <w:numPr>
          <w:ilvl w:val="0"/>
          <w:numId w:val="2"/>
        </w:numPr>
        <w:spacing w:after="0" w:line="360" w:lineRule="auto"/>
        <w:textAlignment w:val="baseline"/>
        <w:rPr>
          <w:rFonts w:ascii="Times New Roman" w:eastAsia="Times New Roman" w:hAnsi="Times New Roman" w:cs="Times New Roman"/>
          <w:color w:val="000000"/>
          <w:kern w:val="0"/>
          <w:sz w:val="20"/>
          <w:szCs w:val="20"/>
          <w:lang w:eastAsia="en-GB"/>
          <w14:ligatures w14:val="none"/>
        </w:rPr>
      </w:pPr>
      <w:r w:rsidRPr="00662567">
        <w:rPr>
          <w:rFonts w:ascii="Times New Roman" w:eastAsia="Times New Roman" w:hAnsi="Times New Roman" w:cs="Times New Roman"/>
          <w:color w:val="000000"/>
          <w:kern w:val="0"/>
          <w:lang w:eastAsia="en-GB"/>
          <w14:ligatures w14:val="none"/>
        </w:rPr>
        <w:t xml:space="preserve">Descartes, R. (1996) </w:t>
      </w:r>
      <w:r w:rsidRPr="00662567">
        <w:rPr>
          <w:rFonts w:ascii="Times New Roman" w:eastAsia="Times New Roman" w:hAnsi="Times New Roman" w:cs="Times New Roman"/>
          <w:i/>
          <w:iCs/>
          <w:color w:val="000000"/>
          <w:kern w:val="0"/>
          <w:lang w:eastAsia="en-GB"/>
          <w14:ligatures w14:val="none"/>
        </w:rPr>
        <w:t>Meditations on First Philosophy</w:t>
      </w:r>
      <w:r w:rsidRPr="00662567">
        <w:rPr>
          <w:rFonts w:ascii="Times New Roman" w:eastAsia="Times New Roman" w:hAnsi="Times New Roman" w:cs="Times New Roman"/>
          <w:color w:val="000000"/>
          <w:kern w:val="0"/>
          <w:lang w:eastAsia="en-GB"/>
          <w14:ligatures w14:val="none"/>
        </w:rPr>
        <w:t>. Translated by J. Cottingham. Cambridge: Cambridge University Press. (Original work published 1641).</w:t>
      </w:r>
    </w:p>
    <w:p w14:paraId="2BD7841C" w14:textId="77777777" w:rsidR="00A67159" w:rsidRPr="00662567" w:rsidRDefault="00A67159" w:rsidP="00A67159">
      <w:pPr>
        <w:numPr>
          <w:ilvl w:val="0"/>
          <w:numId w:val="2"/>
        </w:numPr>
        <w:spacing w:after="0" w:line="360" w:lineRule="auto"/>
        <w:textAlignment w:val="baseline"/>
        <w:rPr>
          <w:rFonts w:ascii="Times New Roman" w:eastAsia="Times New Roman" w:hAnsi="Times New Roman" w:cs="Times New Roman"/>
          <w:color w:val="000000"/>
          <w:kern w:val="0"/>
          <w:sz w:val="20"/>
          <w:szCs w:val="20"/>
          <w:lang w:eastAsia="en-GB"/>
          <w14:ligatures w14:val="none"/>
        </w:rPr>
      </w:pPr>
      <w:r w:rsidRPr="00662567">
        <w:rPr>
          <w:rFonts w:ascii="Times New Roman" w:eastAsia="Times New Roman" w:hAnsi="Times New Roman" w:cs="Times New Roman"/>
          <w:color w:val="000000"/>
          <w:kern w:val="0"/>
          <w:lang w:eastAsia="en-GB"/>
          <w14:ligatures w14:val="none"/>
        </w:rPr>
        <w:t xml:space="preserve">Taliaferro, C. and Draper, P. (eds.) (2010) </w:t>
      </w:r>
      <w:r w:rsidRPr="00662567">
        <w:rPr>
          <w:rFonts w:ascii="Times New Roman" w:eastAsia="Times New Roman" w:hAnsi="Times New Roman" w:cs="Times New Roman"/>
          <w:i/>
          <w:iCs/>
          <w:color w:val="000000"/>
          <w:kern w:val="0"/>
          <w:lang w:eastAsia="en-GB"/>
          <w14:ligatures w14:val="none"/>
        </w:rPr>
        <w:t>The Oxford Handbook of Philosophy of Religion</w:t>
      </w:r>
      <w:r w:rsidRPr="00662567">
        <w:rPr>
          <w:rFonts w:ascii="Times New Roman" w:eastAsia="Times New Roman" w:hAnsi="Times New Roman" w:cs="Times New Roman"/>
          <w:color w:val="000000"/>
          <w:kern w:val="0"/>
          <w:lang w:eastAsia="en-GB"/>
          <w14:ligatures w14:val="none"/>
        </w:rPr>
        <w:t>. Oxford: Oxford University Press.</w:t>
      </w:r>
    </w:p>
    <w:p w14:paraId="05F3EBEF" w14:textId="77777777" w:rsidR="00A67159" w:rsidRPr="00A67159" w:rsidRDefault="00A67159" w:rsidP="00A67159">
      <w:pPr>
        <w:numPr>
          <w:ilvl w:val="0"/>
          <w:numId w:val="2"/>
        </w:numPr>
        <w:spacing w:after="0" w:line="360" w:lineRule="auto"/>
        <w:textAlignment w:val="baseline"/>
        <w:rPr>
          <w:rFonts w:ascii="Times New Roman" w:eastAsia="Times New Roman" w:hAnsi="Times New Roman" w:cs="Times New Roman"/>
          <w:color w:val="000000"/>
          <w:kern w:val="0"/>
          <w:sz w:val="20"/>
          <w:szCs w:val="20"/>
          <w:lang w:eastAsia="en-GB"/>
          <w14:ligatures w14:val="none"/>
        </w:rPr>
      </w:pPr>
      <w:r w:rsidRPr="00662567">
        <w:rPr>
          <w:rFonts w:ascii="Times New Roman" w:eastAsia="Times New Roman" w:hAnsi="Times New Roman" w:cs="Times New Roman"/>
          <w:color w:val="000000"/>
          <w:kern w:val="0"/>
          <w:lang w:eastAsia="en-GB"/>
          <w14:ligatures w14:val="none"/>
        </w:rPr>
        <w:t xml:space="preserve">Williams, B. (1973) ‘Deciding to Believe’, in </w:t>
      </w:r>
      <w:r w:rsidRPr="00662567">
        <w:rPr>
          <w:rFonts w:ascii="Times New Roman" w:eastAsia="Times New Roman" w:hAnsi="Times New Roman" w:cs="Times New Roman"/>
          <w:i/>
          <w:iCs/>
          <w:color w:val="000000"/>
          <w:kern w:val="0"/>
          <w:lang w:eastAsia="en-GB"/>
          <w14:ligatures w14:val="none"/>
        </w:rPr>
        <w:t>Problems of the Self</w:t>
      </w:r>
      <w:r w:rsidRPr="00662567">
        <w:rPr>
          <w:rFonts w:ascii="Times New Roman" w:eastAsia="Times New Roman" w:hAnsi="Times New Roman" w:cs="Times New Roman"/>
          <w:color w:val="000000"/>
          <w:kern w:val="0"/>
          <w:lang w:eastAsia="en-GB"/>
          <w14:ligatures w14:val="none"/>
        </w:rPr>
        <w:t>. Cambridge: Cambridge University Press, pp. 136–151.</w:t>
      </w:r>
    </w:p>
    <w:p w14:paraId="79AEE76B" w14:textId="77777777" w:rsidR="00A67159" w:rsidRPr="00662567" w:rsidRDefault="00A67159" w:rsidP="00A67159">
      <w:pPr>
        <w:numPr>
          <w:ilvl w:val="0"/>
          <w:numId w:val="2"/>
        </w:numPr>
        <w:spacing w:after="0" w:line="360" w:lineRule="auto"/>
        <w:textAlignment w:val="baseline"/>
        <w:rPr>
          <w:rFonts w:ascii="Times New Roman" w:eastAsia="Times New Roman" w:hAnsi="Times New Roman" w:cs="Times New Roman"/>
          <w:color w:val="000000"/>
          <w:kern w:val="0"/>
          <w:sz w:val="20"/>
          <w:szCs w:val="20"/>
          <w:lang w:eastAsia="en-GB"/>
          <w14:ligatures w14:val="none"/>
        </w:rPr>
      </w:pPr>
      <w:r>
        <w:rPr>
          <w:rFonts w:ascii="Times New Roman" w:eastAsia="Times New Roman" w:hAnsi="Times New Roman" w:cs="Times New Roman"/>
          <w:color w:val="000000"/>
          <w:kern w:val="0"/>
          <w:lang w:eastAsia="en-GB"/>
          <w14:ligatures w14:val="none"/>
        </w:rPr>
        <w:t xml:space="preserve">Wittgenstein, L. (2009) </w:t>
      </w:r>
      <w:r>
        <w:rPr>
          <w:rFonts w:ascii="Times New Roman" w:eastAsia="Times New Roman" w:hAnsi="Times New Roman" w:cs="Times New Roman"/>
          <w:i/>
          <w:iCs/>
          <w:color w:val="000000"/>
          <w:kern w:val="0"/>
          <w:lang w:eastAsia="en-GB"/>
          <w14:ligatures w14:val="none"/>
        </w:rPr>
        <w:t xml:space="preserve">Philosophical Investigations. </w:t>
      </w:r>
      <w:r>
        <w:rPr>
          <w:rFonts w:ascii="Times New Roman" w:eastAsia="Times New Roman" w:hAnsi="Times New Roman" w:cs="Times New Roman"/>
          <w:color w:val="000000"/>
          <w:kern w:val="0"/>
          <w:lang w:eastAsia="en-GB"/>
          <w14:ligatures w14:val="none"/>
        </w:rPr>
        <w:t>4</w:t>
      </w:r>
      <w:r w:rsidRPr="00A67159">
        <w:rPr>
          <w:rFonts w:ascii="Times New Roman" w:eastAsia="Times New Roman" w:hAnsi="Times New Roman" w:cs="Times New Roman"/>
          <w:color w:val="000000"/>
          <w:kern w:val="0"/>
          <w:vertAlign w:val="superscript"/>
          <w:lang w:eastAsia="en-GB"/>
          <w14:ligatures w14:val="none"/>
        </w:rPr>
        <w:t>th</w:t>
      </w:r>
      <w:r>
        <w:rPr>
          <w:rFonts w:ascii="Times New Roman" w:eastAsia="Times New Roman" w:hAnsi="Times New Roman" w:cs="Times New Roman"/>
          <w:color w:val="000000"/>
          <w:kern w:val="0"/>
          <w:lang w:eastAsia="en-GB"/>
          <w14:ligatures w14:val="none"/>
        </w:rPr>
        <w:t xml:space="preserve"> revised edition. Translated by G.E.M Anscombe, P.M.S. Hacker and J. Schulte. Oxford: Wiley- Blackwell</w:t>
      </w:r>
    </w:p>
    <w:p w14:paraId="45F0EB88" w14:textId="77777777" w:rsidR="00A67159" w:rsidRDefault="00A67159" w:rsidP="00A67159"/>
    <w:p w14:paraId="45C169A8" w14:textId="77777777" w:rsidR="00777904" w:rsidRDefault="00777904"/>
    <w:sectPr w:rsidR="007779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2AE9"/>
    <w:multiLevelType w:val="hybridMultilevel"/>
    <w:tmpl w:val="6CB4B7F4"/>
    <w:lvl w:ilvl="0" w:tplc="AC06E24E">
      <w:numFmt w:val="bullet"/>
      <w:lvlText w:val="-"/>
      <w:lvlJc w:val="left"/>
      <w:pPr>
        <w:ind w:left="720" w:hanging="360"/>
      </w:pPr>
      <w:rPr>
        <w:rFonts w:ascii="Times New Roman" w:eastAsia="Times New Roman"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DF2AD6"/>
    <w:multiLevelType w:val="multilevel"/>
    <w:tmpl w:val="03CE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766FD0"/>
    <w:multiLevelType w:val="multilevel"/>
    <w:tmpl w:val="7CB8F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987391">
    <w:abstractNumId w:val="1"/>
  </w:num>
  <w:num w:numId="2" w16cid:durableId="893078012">
    <w:abstractNumId w:val="2"/>
  </w:num>
  <w:num w:numId="3" w16cid:durableId="1312559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C77"/>
    <w:rsid w:val="00021E37"/>
    <w:rsid w:val="00094071"/>
    <w:rsid w:val="00112DAF"/>
    <w:rsid w:val="0011371B"/>
    <w:rsid w:val="00184496"/>
    <w:rsid w:val="00186F4D"/>
    <w:rsid w:val="002341F3"/>
    <w:rsid w:val="00300AEF"/>
    <w:rsid w:val="003D6246"/>
    <w:rsid w:val="003E5C60"/>
    <w:rsid w:val="005E093F"/>
    <w:rsid w:val="006567D3"/>
    <w:rsid w:val="00662567"/>
    <w:rsid w:val="006650A1"/>
    <w:rsid w:val="00665685"/>
    <w:rsid w:val="006C50E8"/>
    <w:rsid w:val="007626B3"/>
    <w:rsid w:val="00777904"/>
    <w:rsid w:val="007F5C77"/>
    <w:rsid w:val="00820281"/>
    <w:rsid w:val="00890DD1"/>
    <w:rsid w:val="00896323"/>
    <w:rsid w:val="008F08FA"/>
    <w:rsid w:val="009C4DAC"/>
    <w:rsid w:val="00A67159"/>
    <w:rsid w:val="00AB7742"/>
    <w:rsid w:val="00AD2E7C"/>
    <w:rsid w:val="00B07C71"/>
    <w:rsid w:val="00BE4AC0"/>
    <w:rsid w:val="00C16DDA"/>
    <w:rsid w:val="00C73BDA"/>
    <w:rsid w:val="00CF42F1"/>
    <w:rsid w:val="00D857C8"/>
    <w:rsid w:val="00DF7144"/>
    <w:rsid w:val="00E56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C130C"/>
  <w15:chartTrackingRefBased/>
  <w15:docId w15:val="{8D4C3A52-1CB3-418A-B05E-4D7BE842D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C77"/>
  </w:style>
  <w:style w:type="paragraph" w:styleId="Heading1">
    <w:name w:val="heading 1"/>
    <w:basedOn w:val="Normal"/>
    <w:next w:val="Normal"/>
    <w:link w:val="Heading1Char"/>
    <w:uiPriority w:val="9"/>
    <w:qFormat/>
    <w:rsid w:val="007F5C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5C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C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C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C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C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C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C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C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C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5C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5C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5C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5C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5C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C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C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C77"/>
    <w:rPr>
      <w:rFonts w:eastAsiaTheme="majorEastAsia" w:cstheme="majorBidi"/>
      <w:color w:val="272727" w:themeColor="text1" w:themeTint="D8"/>
    </w:rPr>
  </w:style>
  <w:style w:type="paragraph" w:styleId="Title">
    <w:name w:val="Title"/>
    <w:basedOn w:val="Normal"/>
    <w:next w:val="Normal"/>
    <w:link w:val="TitleChar"/>
    <w:uiPriority w:val="10"/>
    <w:qFormat/>
    <w:rsid w:val="007F5C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C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C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C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C77"/>
    <w:pPr>
      <w:spacing w:before="160"/>
      <w:jc w:val="center"/>
    </w:pPr>
    <w:rPr>
      <w:i/>
      <w:iCs/>
      <w:color w:val="404040" w:themeColor="text1" w:themeTint="BF"/>
    </w:rPr>
  </w:style>
  <w:style w:type="character" w:customStyle="1" w:styleId="QuoteChar">
    <w:name w:val="Quote Char"/>
    <w:basedOn w:val="DefaultParagraphFont"/>
    <w:link w:val="Quote"/>
    <w:uiPriority w:val="29"/>
    <w:rsid w:val="007F5C77"/>
    <w:rPr>
      <w:i/>
      <w:iCs/>
      <w:color w:val="404040" w:themeColor="text1" w:themeTint="BF"/>
    </w:rPr>
  </w:style>
  <w:style w:type="paragraph" w:styleId="ListParagraph">
    <w:name w:val="List Paragraph"/>
    <w:basedOn w:val="Normal"/>
    <w:uiPriority w:val="34"/>
    <w:qFormat/>
    <w:rsid w:val="007F5C77"/>
    <w:pPr>
      <w:ind w:left="720"/>
      <w:contextualSpacing/>
    </w:pPr>
  </w:style>
  <w:style w:type="character" w:styleId="IntenseEmphasis">
    <w:name w:val="Intense Emphasis"/>
    <w:basedOn w:val="DefaultParagraphFont"/>
    <w:uiPriority w:val="21"/>
    <w:qFormat/>
    <w:rsid w:val="007F5C77"/>
    <w:rPr>
      <w:i/>
      <w:iCs/>
      <w:color w:val="0F4761" w:themeColor="accent1" w:themeShade="BF"/>
    </w:rPr>
  </w:style>
  <w:style w:type="paragraph" w:styleId="IntenseQuote">
    <w:name w:val="Intense Quote"/>
    <w:basedOn w:val="Normal"/>
    <w:next w:val="Normal"/>
    <w:link w:val="IntenseQuoteChar"/>
    <w:uiPriority w:val="30"/>
    <w:qFormat/>
    <w:rsid w:val="007F5C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C77"/>
    <w:rPr>
      <w:i/>
      <w:iCs/>
      <w:color w:val="0F4761" w:themeColor="accent1" w:themeShade="BF"/>
    </w:rPr>
  </w:style>
  <w:style w:type="character" w:styleId="IntenseReference">
    <w:name w:val="Intense Reference"/>
    <w:basedOn w:val="DefaultParagraphFont"/>
    <w:uiPriority w:val="32"/>
    <w:qFormat/>
    <w:rsid w:val="007F5C77"/>
    <w:rPr>
      <w:b/>
      <w:bCs/>
      <w:smallCaps/>
      <w:color w:val="0F4761" w:themeColor="accent1" w:themeShade="BF"/>
      <w:spacing w:val="5"/>
    </w:rPr>
  </w:style>
  <w:style w:type="character" w:customStyle="1" w:styleId="ng-star-inserted">
    <w:name w:val="ng-star-inserted"/>
    <w:basedOn w:val="DefaultParagraphFont"/>
    <w:rsid w:val="007F5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263</TotalTime>
  <Pages>6</Pages>
  <Words>2197</Words>
  <Characters>12526</Characters>
  <Application>Microsoft Office Word</Application>
  <DocSecurity>0</DocSecurity>
  <Lines>104</Lines>
  <Paragraphs>29</Paragraphs>
  <ScaleCrop>false</ScaleCrop>
  <Company/>
  <LinksUpToDate>false</LinksUpToDate>
  <CharactersWithSpaces>14694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Yishai Epstein-Lightman (yepstein200542 - L6R3)</dc:creator>
  <cp:keywords/>
  <dc:description/>
  <cp:lastModifiedBy>Yishai Epstein-Lightman (yepstein200542 - L6R3)</cp:lastModifiedBy>
  <cp:revision>30</cp:revision>
  <dcterms:created xsi:type="dcterms:W3CDTF">2026-07-15T14:07:00Z</dcterms:created>
  <dcterms:modified xsi:type="dcterms:W3CDTF">2026-07-15T18:58:00Z</dcterms:modified>
</cp:coreProperties>
</file>